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279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6209030" cy="85344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030" cy="85344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ind w:left="463" w:right="462" w:hanging="0"/>
                              <w:jc w:val="center"/>
                              <w:rPr>
                                <w:b/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NOTA DI AGGIORNAMENTO AL DOCUMENTO UNICO DI PROGRAMMAZIONE SEMPLIFICATO 2021 - 2023</w:t>
                            </w:r>
                          </w:p>
                          <w:p>
                            <w:pPr>
                              <w:pStyle w:val="Contenutocornice"/>
                              <w:ind w:left="462" w:right="462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(Enti con Popolazione fino a 2.000 Abitanti)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488.9pt;height:67.2pt;mso-wrap-distance-left:9pt;mso-wrap-distance-right:9pt;mso-wrap-distance-top:0pt;mso-wrap-distance-bottom:0pt;margin-top:-67.2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ind w:left="463" w:right="462" w:hanging="0"/>
                        <w:jc w:val="center"/>
                        <w:rPr>
                          <w:b/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NOTA DI AGGIORNAMENTO AL DOCUMENTO UNICO DI PROGRAMMAZIONE SEMPLIFICATO 2021 - 2023</w:t>
                      </w:r>
                    </w:p>
                    <w:p>
                      <w:pPr>
                        <w:pStyle w:val="Contenutocornice"/>
                        <w:ind w:left="462" w:right="462" w:hanging="0"/>
                        <w:jc w:val="center"/>
                        <w:rPr/>
                      </w:pPr>
                      <w:r>
                        <w:rPr>
                          <w:b/>
                          <w:sz w:val="36"/>
                        </w:rPr>
                        <w:t>(Enti con Popolazione fino a 2.000 Abitanti)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16"/>
        </w:rPr>
      </w:pPr>
      <w:r>
        <w:rPr>
          <w:sz w:val="16"/>
        </w:rPr>
      </w:r>
    </w:p>
    <w:p>
      <w:pPr>
        <w:pStyle w:val="Titolo1"/>
        <w:spacing w:before="38" w:after="0"/>
        <w:ind w:left="1470" w:right="1445" w:hanging="0"/>
        <w:rPr/>
      </w:pPr>
      <w:r>
        <w:rPr/>
        <w:t>Unione Comuni Lombarda di Verrua e Rea</w:t>
      </w:r>
    </w:p>
    <w:p>
      <w:pPr>
        <w:pStyle w:val="Titolo2"/>
        <w:spacing w:before="67" w:after="0"/>
        <w:ind w:left="1470" w:right="1445" w:hanging="0"/>
        <w:jc w:val="center"/>
        <w:rPr/>
      </w:pPr>
      <w:r>
        <w:rPr/>
        <w:t>Provincia di Pavia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740" w:right="760" w:header="741" w:top="1400" w:footer="1109" w:bottom="1300" w:gutter="0"/>
          <w:pgNumType w:fmt="decimal"/>
          <w:formProt w:val="false"/>
          <w:textDirection w:val="lrTb"/>
        </w:sectPr>
      </w:pP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5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spacing w:before="30" w:after="0"/>
        <w:ind w:left="1467" w:right="1445" w:hanging="0"/>
        <w:jc w:val="center"/>
        <w:rPr>
          <w:b/>
          <w:b/>
          <w:sz w:val="44"/>
        </w:rPr>
      </w:pPr>
      <w:r>
        <w:rPr>
          <w:b/>
          <w:sz w:val="44"/>
          <w:u w:val="thick"/>
        </w:rPr>
        <w:t>SOMMARIO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2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spacing w:lineRule="auto" w:line="276" w:before="62" w:after="0"/>
        <w:ind w:left="675" w:right="369" w:hanging="284"/>
        <w:rPr>
          <w:b/>
          <w:b/>
          <w:sz w:val="24"/>
        </w:rPr>
      </w:pPr>
      <w:r>
        <w:rPr>
          <w:b/>
          <w:sz w:val="24"/>
        </w:rPr>
        <w:t>ORGANIZZAZIONE E MODALITA’ DI GESTIONE DEI SERVIZI PUBBLICI AI CITTADINI CON PARTICOLARE RIFERIMENTO ALLE GESTIONI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ASSOCIATE</w:t>
      </w:r>
    </w:p>
    <w:p>
      <w:pPr>
        <w:pStyle w:val="Corpodeltesto"/>
        <w:spacing w:before="5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spacing w:lineRule="auto" w:line="276"/>
        <w:ind w:left="675" w:right="364" w:hanging="284"/>
        <w:rPr>
          <w:b/>
          <w:b/>
          <w:sz w:val="24"/>
        </w:rPr>
      </w:pPr>
      <w:r>
        <w:rPr>
          <w:b/>
          <w:sz w:val="24"/>
        </w:rPr>
        <w:t>COERENZA DELLA PROGRAMMAZIONE CON GLI STRUMENTI URBANISTICI VIGENTI</w:t>
      </w:r>
    </w:p>
    <w:p>
      <w:pPr>
        <w:pStyle w:val="Corpodeltesto"/>
        <w:spacing w:before="2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rPr>
          <w:b/>
          <w:b/>
          <w:sz w:val="24"/>
        </w:rPr>
      </w:pPr>
      <w:r>
        <w:rPr>
          <w:b/>
          <w:sz w:val="24"/>
        </w:rPr>
        <w:t>POLITICA TRIBUTARIA 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TARIFFARIA</w:t>
      </w:r>
    </w:p>
    <w:p>
      <w:pPr>
        <w:pStyle w:val="Corpodeltesto"/>
        <w:spacing w:before="4" w:after="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rPr>
          <w:b/>
          <w:b/>
          <w:sz w:val="24"/>
        </w:rPr>
      </w:pPr>
      <w:r>
        <w:rPr>
          <w:b/>
          <w:sz w:val="24"/>
        </w:rPr>
        <w:t>ORGANIZZAZIONE DELL’ENTE E DEL SUO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PERSONALE</w:t>
      </w:r>
    </w:p>
    <w:p>
      <w:pPr>
        <w:pStyle w:val="Corpodeltesto"/>
        <w:spacing w:before="1" w:after="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rPr>
          <w:b/>
          <w:b/>
          <w:sz w:val="24"/>
        </w:rPr>
      </w:pPr>
      <w:r>
        <w:rPr>
          <w:b/>
          <w:sz w:val="24"/>
        </w:rPr>
        <w:t>PIANO DEGLI INVESTIMENTI ED IL RELATIVO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FINANZIAMENTO</w:t>
      </w:r>
    </w:p>
    <w:p>
      <w:pPr>
        <w:pStyle w:val="Corpodeltesto"/>
        <w:spacing w:before="4" w:after="0"/>
        <w:rPr>
          <w:b/>
          <w:b/>
          <w:sz w:val="31"/>
        </w:rPr>
      </w:pPr>
      <w:r>
        <w:rPr>
          <w:b/>
          <w:sz w:val="31"/>
        </w:rPr>
      </w:r>
    </w:p>
    <w:p>
      <w:pPr>
        <w:sectPr>
          <w:headerReference w:type="default" r:id="rId4"/>
          <w:footerReference w:type="default" r:id="rId5"/>
          <w:type w:val="nextPage"/>
          <w:pgSz w:w="11906" w:h="16838"/>
          <w:pgMar w:left="740" w:right="760" w:header="741" w:top="1400" w:footer="1109" w:bottom="130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676" w:leader="none"/>
        </w:tabs>
        <w:rPr>
          <w:b/>
          <w:b/>
          <w:sz w:val="24"/>
        </w:rPr>
      </w:pPr>
      <w:r>
        <w:rPr>
          <w:b/>
          <w:sz w:val="24"/>
        </w:rPr>
        <w:t>RISPETTO DELLE REGOLE DI FINANZA PUBBLICA</w:t>
      </w:r>
    </w:p>
    <w:p>
      <w:pPr>
        <w:pStyle w:val="Corpodeltesto"/>
        <w:ind w:left="114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6365875" cy="821690"/>
                <wp:effectExtent l="0" t="0" r="0" b="0"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875" cy="82169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6" w:after="0"/>
                              <w:ind w:left="695" w:right="189" w:hanging="428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a) Organizzazione e modalità di Gestione dei servizi pubblici ai cittadini con particolare riferimento alle gestioni associate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501.25pt;height:64.7pt;mso-wrap-distance-left:9pt;mso-wrap-distance-right:9pt;mso-wrap-distance-top:0pt;mso-wrap-distance-bottom:0pt;margin-top:-64.7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6" w:after="0"/>
                        <w:ind w:left="695" w:right="189" w:hanging="428"/>
                        <w:rPr/>
                      </w:pPr>
                      <w:r>
                        <w:rPr>
                          <w:b/>
                          <w:sz w:val="36"/>
                        </w:rPr>
                        <w:t>a) Organizzazione e modalità di Gestione dei servizi pubblici ai cittadini con particolare riferimento alle gestioni associate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10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Normal"/>
        <w:spacing w:lineRule="exact" w:line="320" w:before="57" w:after="0"/>
        <w:ind w:left="392" w:hanging="0"/>
        <w:rPr>
          <w:b/>
          <w:b/>
          <w:sz w:val="28"/>
        </w:rPr>
      </w:pPr>
      <w:r>
        <w:rPr>
          <w:b/>
          <w:sz w:val="28"/>
        </w:rPr>
        <w:t>Servizi gestiti in forma diretta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82"/>
        <w:ind w:left="1345" w:hanging="361"/>
        <w:rPr>
          <w:sz w:val="24"/>
        </w:rPr>
      </w:pPr>
      <w:r>
        <w:rPr>
          <w:sz w:val="24"/>
        </w:rPr>
        <w:t>ordine pubblico e</w:t>
      </w:r>
      <w:r>
        <w:rPr>
          <w:spacing w:val="-3"/>
          <w:sz w:val="24"/>
        </w:rPr>
        <w:t xml:space="preserve"> </w:t>
      </w:r>
      <w:r>
        <w:rPr>
          <w:sz w:val="24"/>
        </w:rPr>
        <w:t>sicurezza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2"/>
        <w:ind w:left="1345" w:hanging="361"/>
        <w:rPr>
          <w:sz w:val="24"/>
        </w:rPr>
      </w:pPr>
      <w:r>
        <w:rPr>
          <w:sz w:val="24"/>
        </w:rPr>
        <w:t>istruzione e diritto allo</w:t>
      </w:r>
      <w:r>
        <w:rPr>
          <w:spacing w:val="-3"/>
          <w:sz w:val="24"/>
        </w:rPr>
        <w:t xml:space="preserve"> </w:t>
      </w:r>
      <w:r>
        <w:rPr>
          <w:sz w:val="24"/>
        </w:rPr>
        <w:t>studio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4"/>
        <w:ind w:left="1345" w:hanging="361"/>
        <w:rPr>
          <w:sz w:val="24"/>
        </w:rPr>
      </w:pPr>
      <w:r>
        <w:rPr>
          <w:sz w:val="24"/>
        </w:rPr>
        <w:t>turismo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4"/>
        <w:ind w:left="1345" w:hanging="361"/>
        <w:rPr>
          <w:sz w:val="24"/>
        </w:rPr>
      </w:pPr>
      <w:r>
        <w:rPr>
          <w:sz w:val="24"/>
        </w:rPr>
        <w:t>assetto del territorio ed edilizia abitativa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2"/>
        <w:ind w:left="1345" w:hanging="361"/>
        <w:rPr>
          <w:sz w:val="24"/>
        </w:rPr>
      </w:pPr>
      <w:r>
        <w:rPr>
          <w:sz w:val="24"/>
        </w:rPr>
        <w:t>sviluppo sostenibile e tutela del territorio e</w:t>
      </w:r>
      <w:r>
        <w:rPr>
          <w:spacing w:val="-6"/>
          <w:sz w:val="24"/>
        </w:rPr>
        <w:t xml:space="preserve"> </w:t>
      </w:r>
      <w:r>
        <w:rPr>
          <w:sz w:val="24"/>
        </w:rPr>
        <w:t>dell’ambiente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2"/>
        <w:ind w:left="1345" w:hanging="361"/>
        <w:rPr>
          <w:sz w:val="24"/>
        </w:rPr>
      </w:pPr>
      <w:r>
        <w:rPr>
          <w:sz w:val="24"/>
        </w:rPr>
        <w:t>trasporti e diritto alla</w:t>
      </w:r>
      <w:r>
        <w:rPr>
          <w:spacing w:val="-3"/>
          <w:sz w:val="24"/>
        </w:rPr>
        <w:t xml:space="preserve"> </w:t>
      </w:r>
      <w:r>
        <w:rPr>
          <w:sz w:val="24"/>
        </w:rPr>
        <w:t>mobilità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74"/>
        <w:ind w:left="1345" w:hanging="361"/>
        <w:rPr>
          <w:sz w:val="24"/>
        </w:rPr>
      </w:pPr>
      <w:r>
        <w:rPr>
          <w:sz w:val="24"/>
        </w:rPr>
        <w:t>soccorso</w:t>
      </w:r>
      <w:r>
        <w:rPr>
          <w:spacing w:val="-1"/>
          <w:sz w:val="24"/>
        </w:rPr>
        <w:t xml:space="preserve"> </w:t>
      </w:r>
      <w:r>
        <w:rPr>
          <w:sz w:val="24"/>
        </w:rPr>
        <w:t>civile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345" w:leader="none"/>
          <w:tab w:val="left" w:pos="1346" w:leader="none"/>
        </w:tabs>
        <w:spacing w:lineRule="exact" w:line="285"/>
        <w:ind w:left="1345" w:hanging="361"/>
        <w:rPr>
          <w:sz w:val="24"/>
        </w:rPr>
      </w:pPr>
      <w:r>
        <w:rPr>
          <w:sz w:val="24"/>
        </w:rPr>
        <w:t>diritti sociali, politiche sociali e</w:t>
      </w:r>
      <w:r>
        <w:rPr>
          <w:spacing w:val="-3"/>
          <w:sz w:val="24"/>
        </w:rPr>
        <w:t xml:space="preserve"> </w:t>
      </w:r>
      <w:r>
        <w:rPr>
          <w:sz w:val="24"/>
        </w:rPr>
        <w:t>famiglia</w:t>
      </w:r>
    </w:p>
    <w:p>
      <w:pPr>
        <w:pStyle w:val="Corpodeltesto"/>
        <w:spacing w:before="4" w:after="0"/>
        <w:rPr>
          <w:sz w:val="26"/>
        </w:rPr>
      </w:pPr>
      <w:r>
        <w:rPr>
          <w:sz w:val="26"/>
        </w:rPr>
      </w:r>
    </w:p>
    <w:p>
      <w:pPr>
        <w:pStyle w:val="Corpodeltesto"/>
        <w:spacing w:lineRule="auto" w:line="276" w:before="1" w:after="0"/>
        <w:ind w:left="392" w:right="366" w:hanging="0"/>
        <w:jc w:val="both"/>
        <w:rPr/>
      </w:pPr>
      <w:r>
        <w:rPr/>
        <w:t>I suddetti servizi vengono erogati per conto dei Comuni appartenenti all’Unione, i quali provvedono al riparto delle spese sostenute, sulla base di deliberazioni di giunta dell’unione assunte per ogni incarico.</w:t>
      </w:r>
    </w:p>
    <w:p>
      <w:pPr>
        <w:pStyle w:val="Corpodeltesto"/>
        <w:spacing w:before="5" w:after="0"/>
        <w:rPr>
          <w:sz w:val="28"/>
        </w:rPr>
      </w:pPr>
      <w:r>
        <w:rPr>
          <w:sz w:val="28"/>
        </w:rPr>
      </w:r>
    </w:p>
    <w:p>
      <w:pPr>
        <w:pStyle w:val="Titolo2"/>
        <w:spacing w:lineRule="exact" w:line="321" w:before="1" w:after="0"/>
        <w:rPr/>
      </w:pPr>
      <w:r>
        <w:rPr/>
        <w:t>Servizi gestiti in forma associata</w:t>
      </w:r>
    </w:p>
    <w:p>
      <w:pPr>
        <w:pStyle w:val="Corpodeltesto"/>
        <w:spacing w:lineRule="exact" w:line="275"/>
        <w:ind w:left="625" w:hanging="0"/>
        <w:rPr/>
      </w:pPr>
      <w:r>
        <w:rPr/>
        <w:t>Non ricorre fattispecie</w:t>
      </w:r>
    </w:p>
    <w:p>
      <w:pPr>
        <w:pStyle w:val="Corpodeltesto"/>
        <w:rPr>
          <w:sz w:val="28"/>
        </w:rPr>
      </w:pPr>
      <w:r>
        <w:rPr>
          <w:sz w:val="28"/>
        </w:rPr>
      </w:r>
    </w:p>
    <w:p>
      <w:pPr>
        <w:pStyle w:val="Titolo2"/>
        <w:spacing w:lineRule="exact" w:line="320" w:before="0" w:after="0"/>
        <w:rPr/>
      </w:pPr>
      <w:r>
        <w:rPr/>
        <w:t>Servizi affidati a organismi partecipati</w:t>
      </w:r>
    </w:p>
    <w:p>
      <w:pPr>
        <w:pStyle w:val="Corpodeltesto"/>
        <w:spacing w:lineRule="exact" w:line="274"/>
        <w:ind w:left="625" w:hanging="0"/>
        <w:rPr/>
      </w:pPr>
      <w:r>
        <w:rPr/>
        <w:t>Non ricorre fattispecie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2"/>
        <w:spacing w:lineRule="exact" w:line="320" w:before="0" w:after="0"/>
        <w:rPr/>
      </w:pPr>
      <w:r>
        <w:rPr/>
        <w:t>Servizi affidati ad altri soggetti</w:t>
      </w:r>
    </w:p>
    <w:p>
      <w:pPr>
        <w:pStyle w:val="Corpodeltesto"/>
        <w:spacing w:lineRule="exact" w:line="274"/>
        <w:ind w:left="625" w:hanging="0"/>
        <w:rPr/>
      </w:pPr>
      <w:r>
        <w:rPr/>
        <w:t>Non ricorre fattispecie</w:t>
      </w:r>
    </w:p>
    <w:p>
      <w:pPr>
        <w:pStyle w:val="Corpodeltesto"/>
        <w:rPr>
          <w:sz w:val="31"/>
        </w:rPr>
      </w:pPr>
      <w:r>
        <w:rPr>
          <w:sz w:val="31"/>
        </w:rPr>
      </w:r>
    </w:p>
    <w:p>
      <w:pPr>
        <w:pStyle w:val="Titolo2"/>
        <w:spacing w:lineRule="exact" w:line="320" w:before="0" w:after="0"/>
        <w:rPr/>
      </w:pPr>
      <w:r>
        <w:rPr/>
        <w:t>Altre modalità di gestione dei servizi pubblici</w:t>
      </w:r>
    </w:p>
    <w:p>
      <w:pPr>
        <w:pStyle w:val="Corpodeltesto"/>
        <w:spacing w:lineRule="exact" w:line="274"/>
        <w:ind w:left="625" w:hanging="0"/>
        <w:rPr/>
      </w:pPr>
      <w:r>
        <w:rPr/>
        <w:t>Non ricorre fattispecie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0" w:after="0"/>
        <w:rPr>
          <w:sz w:val="28"/>
        </w:rPr>
      </w:pPr>
      <w:r>
        <w:rPr>
          <w:sz w:val="28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545465</wp:posOffset>
                </wp:positionH>
                <wp:positionV relativeFrom="paragraph">
                  <wp:posOffset>239395</wp:posOffset>
                </wp:positionV>
                <wp:extent cx="6365875" cy="558165"/>
                <wp:effectExtent l="0" t="0" r="0" b="0"/>
                <wp:wrapTopAndBottom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875" cy="558165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6" w:after="0"/>
                              <w:ind w:left="695" w:right="189" w:hanging="428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b) Coerenza della programmazione con gli strumenti urbanistici vigenti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501.25pt;height:43.95pt;mso-wrap-distance-left:0pt;mso-wrap-distance-right:0pt;mso-wrap-distance-top:0pt;mso-wrap-distance-bottom:0pt;margin-top:18.85pt;mso-position-vertical-relative:text;margin-left:42.9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6" w:after="0"/>
                        <w:ind w:left="695" w:right="189" w:hanging="428"/>
                        <w:rPr/>
                      </w:pPr>
                      <w:r>
                        <w:rPr>
                          <w:b/>
                          <w:sz w:val="36"/>
                        </w:rPr>
                        <w:t>b) Coerenza della programmazione con gli strumenti urbanistici vigenti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pStyle w:val="Corpodeltesto"/>
        <w:spacing w:before="58" w:after="0"/>
        <w:ind w:left="625" w:right="344" w:hanging="0"/>
        <w:rPr/>
      </w:pPr>
      <w:r>
        <w:rPr/>
        <w:t>La programmazione finanziaria, la gestione del patrimonio e del Piano delle opere pubbliche sono di spettanza dei singoli enti associati.</w:t>
      </w:r>
    </w:p>
    <w:p>
      <w:pPr>
        <w:pStyle w:val="Corpodeltesto"/>
        <w:spacing w:before="1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545465</wp:posOffset>
                </wp:positionH>
                <wp:positionV relativeFrom="paragraph">
                  <wp:posOffset>226060</wp:posOffset>
                </wp:positionV>
                <wp:extent cx="6365875" cy="295910"/>
                <wp:effectExtent l="0" t="0" r="0" b="0"/>
                <wp:wrapTopAndBottom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875" cy="29591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268" w:hanging="0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c) Politica tributaria e tariffaria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501.25pt;height:23.3pt;mso-wrap-distance-left:0pt;mso-wrap-distance-right:0pt;mso-wrap-distance-top:0pt;mso-wrap-distance-bottom:0pt;margin-top:17.8pt;mso-position-vertical-relative:text;margin-left:42.9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268" w:hanging="0"/>
                        <w:rPr/>
                      </w:pPr>
                      <w:r>
                        <w:rPr>
                          <w:b/>
                          <w:sz w:val="36"/>
                        </w:rPr>
                        <w:t>c) Politica tributaria e tariffaria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sectPr>
          <w:headerReference w:type="default" r:id="rId6"/>
          <w:footerReference w:type="default" r:id="rId7"/>
          <w:type w:val="nextPage"/>
          <w:pgSz w:w="11906" w:h="16838"/>
          <w:pgMar w:left="740" w:right="760" w:header="741" w:top="1400" w:footer="1109" w:bottom="13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58" w:after="0"/>
        <w:ind w:left="625" w:hanging="0"/>
        <w:rPr/>
      </w:pPr>
      <w:r>
        <w:rPr/>
        <w:t>La politica tributaria e tariffaria rinviata alle decisioni delle singole amministrazioni degli enti associati.</w:t>
      </w:r>
    </w:p>
    <w:p>
      <w:pPr>
        <w:pStyle w:val="Corpodeltesto"/>
        <w:ind w:left="503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6209030" cy="295910"/>
                <wp:effectExtent l="0" t="0" r="0" b="0"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030" cy="295910"/>
                        </a:xfrm>
                        <a:prstGeom prst="rect"/>
                        <a:solidFill>
                          <a:srgbClr val="E0E0E0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459" w:right="462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ENTRATE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fillcolor="#E0E0E0" strokecolor="#000000" strokeweight="0pt" style="position:absolute;rotation:0;width:488.9pt;height:23.3pt;mso-wrap-distance-left:9pt;mso-wrap-distance-right:9pt;mso-wrap-distance-top:0pt;mso-wrap-distance-bottom:0pt;margin-top:-23.3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459" w:right="462" w:hanging="0"/>
                        <w:jc w:val="center"/>
                        <w:rPr/>
                      </w:pPr>
                      <w:r>
                        <w:rPr>
                          <w:b/>
                          <w:sz w:val="36"/>
                        </w:rPr>
                        <w:t>ENTRATE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4" w:after="0"/>
        <w:rPr>
          <w:sz w:val="18"/>
        </w:rPr>
      </w:pPr>
      <w:r>
        <w:rPr>
          <w:sz w:val="18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827405</wp:posOffset>
                </wp:positionH>
                <wp:positionV relativeFrom="paragraph">
                  <wp:posOffset>162560</wp:posOffset>
                </wp:positionV>
                <wp:extent cx="5994400" cy="236220"/>
                <wp:effectExtent l="0" t="0" r="0" b="0"/>
                <wp:wrapTopAndBottom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1329" w:right="1331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Tributi e tariffe dei servizi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pubblici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12.8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1329" w:right="1331" w:hanging="0"/>
                        <w:jc w:val="center"/>
                        <w:rPr/>
                      </w:pPr>
                      <w:r>
                        <w:rPr>
                          <w:b/>
                          <w:sz w:val="28"/>
                        </w:rPr>
                        <w:t>Tributi e tariffe dei servizi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pubblici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pStyle w:val="Corpodeltesto"/>
        <w:spacing w:before="58" w:after="0"/>
        <w:ind w:left="392" w:right="344" w:hanging="0"/>
        <w:rPr/>
      </w:pPr>
      <w:r>
        <w:rPr/>
        <w:t>La politica tributaria-tariffaria è rinviata alle decisioni delle singole amministrazioni degli enti associati.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827405</wp:posOffset>
                </wp:positionH>
                <wp:positionV relativeFrom="paragraph">
                  <wp:posOffset>212725</wp:posOffset>
                </wp:positionV>
                <wp:extent cx="5994400" cy="236220"/>
                <wp:effectExtent l="0" t="0" r="0" b="0"/>
                <wp:wrapTopAndBottom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1075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Ricorso all’indebitamento e analisi della relativa sostenibilità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16.75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1075" w:hanging="0"/>
                        <w:rPr/>
                      </w:pPr>
                      <w:r>
                        <w:rPr>
                          <w:b/>
                          <w:sz w:val="28"/>
                        </w:rPr>
                        <w:t>Ricorso all’indebitamento e analisi della relativa sostenibilità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pStyle w:val="Corpodeltesto"/>
        <w:spacing w:before="58" w:after="0"/>
        <w:ind w:left="392" w:hanging="0"/>
        <w:jc w:val="both"/>
        <w:rPr/>
      </w:pPr>
      <w:r>
        <w:rPr/>
        <w:t xml:space="preserve">Al </w:t>
      </w:r>
      <w:r>
        <w:rPr>
          <w:spacing w:val="-3"/>
        </w:rPr>
        <w:t xml:space="preserve">31/12/2020 </w:t>
      </w:r>
      <w:r>
        <w:rPr/>
        <w:t xml:space="preserve">non ci sono mutui </w:t>
      </w:r>
      <w:r>
        <w:rPr>
          <w:spacing w:val="-3"/>
        </w:rPr>
        <w:t xml:space="preserve">passivi </w:t>
      </w:r>
      <w:r>
        <w:rPr/>
        <w:t xml:space="preserve">in </w:t>
      </w:r>
      <w:r>
        <w:rPr>
          <w:spacing w:val="-3"/>
        </w:rPr>
        <w:t xml:space="preserve">essere, </w:t>
      </w:r>
      <w:r>
        <w:rPr/>
        <w:t xml:space="preserve">e non è </w:t>
      </w:r>
      <w:r>
        <w:rPr>
          <w:spacing w:val="-3"/>
        </w:rPr>
        <w:t xml:space="preserve">altresì </w:t>
      </w:r>
      <w:r>
        <w:rPr/>
        <w:t xml:space="preserve">in programma </w:t>
      </w:r>
      <w:r>
        <w:rPr>
          <w:spacing w:val="-3"/>
        </w:rPr>
        <w:t xml:space="preserve">l’assunzione </w:t>
      </w:r>
      <w:r>
        <w:rPr/>
        <w:t xml:space="preserve">di </w:t>
      </w:r>
      <w:r>
        <w:rPr>
          <w:spacing w:val="-3"/>
        </w:rPr>
        <w:t xml:space="preserve">alcun </w:t>
      </w:r>
      <w:r>
        <w:rPr/>
        <w:t xml:space="preserve">mutuo </w:t>
      </w:r>
      <w:r>
        <w:rPr>
          <w:spacing w:val="-3"/>
        </w:rPr>
        <w:t xml:space="preserve">passivo </w:t>
      </w:r>
      <w:r>
        <w:rPr/>
        <w:t xml:space="preserve">nel triennio </w:t>
      </w:r>
      <w:r>
        <w:rPr>
          <w:spacing w:val="-3"/>
        </w:rPr>
        <w:t>considerato.</w:t>
      </w:r>
    </w:p>
    <w:p>
      <w:pPr>
        <w:pStyle w:val="Corpodeltesto"/>
        <w:ind w:left="392" w:right="344" w:hanging="0"/>
        <w:jc w:val="both"/>
        <w:rPr/>
      </w:pPr>
      <w:r>
        <w:rPr/>
        <w:t>Inoltre l’ente non ha fatto ricorso e non prevede di far ricorso nel triennio considerato dell’Anticipazione di tesoreria di cui all’art. 222 D. Lgs. n. 267/2000.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8" w:after="0"/>
        <w:rPr/>
      </w:pPr>
      <w:r>
        <w:rPr/>
      </w:r>
      <w: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792480</wp:posOffset>
                </wp:positionH>
                <wp:positionV relativeFrom="paragraph">
                  <wp:posOffset>208280</wp:posOffset>
                </wp:positionV>
                <wp:extent cx="6209030" cy="295910"/>
                <wp:effectExtent l="0" t="0" r="0" b="0"/>
                <wp:wrapTopAndBottom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030" cy="295910"/>
                        </a:xfrm>
                        <a:prstGeom prst="rect"/>
                        <a:solidFill>
                          <a:srgbClr val="E0E0E0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459" w:right="462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SPESE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0E0E0" strokecolor="#000000" strokeweight="0pt" style="position:absolute;rotation:0;width:488.9pt;height:23.3pt;mso-wrap-distance-left:0pt;mso-wrap-distance-right:0pt;mso-wrap-distance-top:0pt;mso-wrap-distance-bottom:0pt;margin-top:16.4pt;mso-position-vertical-relative:text;margin-left:62.4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459" w:right="462" w:hanging="0"/>
                        <w:jc w:val="center"/>
                        <w:rPr/>
                      </w:pPr>
                      <w:r>
                        <w:rPr>
                          <w:b/>
                          <w:sz w:val="36"/>
                        </w:rPr>
                        <w:t>SPESE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827405</wp:posOffset>
                </wp:positionH>
                <wp:positionV relativeFrom="paragraph">
                  <wp:posOffset>711200</wp:posOffset>
                </wp:positionV>
                <wp:extent cx="5994400" cy="236220"/>
                <wp:effectExtent l="0" t="0" r="0" b="0"/>
                <wp:wrapTopAndBottom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683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Spesa corrente, con specifico riferimento alle funzioni fondamentali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56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683" w:hanging="0"/>
                        <w:rPr/>
                      </w:pPr>
                      <w:r>
                        <w:rPr>
                          <w:b/>
                          <w:sz w:val="28"/>
                        </w:rPr>
                        <w:t>Spesa corrente, con specifico riferimento alle funzioni fondamentali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6" w:after="0"/>
        <w:rPr>
          <w:sz w:val="21"/>
        </w:rPr>
      </w:pPr>
      <w:r>
        <w:rPr>
          <w:sz w:val="21"/>
        </w:rPr>
      </w:r>
    </w:p>
    <w:p>
      <w:pPr>
        <w:pStyle w:val="Corpodeltesto"/>
        <w:spacing w:before="7" w:after="0"/>
        <w:rPr>
          <w:sz w:val="19"/>
        </w:rPr>
      </w:pPr>
      <w:r>
        <w:rPr>
          <w:sz w:val="19"/>
        </w:rPr>
      </w:r>
    </w:p>
    <w:p>
      <w:pPr>
        <w:pStyle w:val="Corpodeltesto"/>
        <w:spacing w:lineRule="auto" w:line="276" w:before="59" w:after="0"/>
        <w:ind w:left="392" w:right="364" w:hanging="1"/>
        <w:jc w:val="both"/>
        <w:rPr/>
      </w:pPr>
      <w:r>
        <w:rPr/>
      </w:r>
    </w:p>
    <w:p>
      <w:pPr>
        <w:pStyle w:val="Corpodeltesto"/>
        <w:spacing w:lineRule="auto" w:line="276" w:before="59" w:after="0"/>
        <w:ind w:left="392" w:right="364" w:hanging="1"/>
        <w:jc w:val="both"/>
        <w:rPr/>
      </w:pPr>
      <w:r>
        <w:rPr/>
        <w:t>La</w:t>
      </w:r>
      <w:r>
        <w:rPr>
          <w:spacing w:val="-8"/>
        </w:rPr>
        <w:t xml:space="preserve"> </w:t>
      </w:r>
      <w:r>
        <w:rPr/>
        <w:t>spesa</w:t>
      </w:r>
      <w:r>
        <w:rPr>
          <w:spacing w:val="-8"/>
        </w:rPr>
        <w:t xml:space="preserve"> </w:t>
      </w:r>
      <w:r>
        <w:rPr/>
        <w:t>corrente</w:t>
      </w:r>
      <w:r>
        <w:rPr>
          <w:spacing w:val="-10"/>
        </w:rPr>
        <w:t xml:space="preserve"> </w:t>
      </w:r>
      <w:r>
        <w:rPr/>
        <w:t>dell’ente</w:t>
      </w:r>
      <w:r>
        <w:rPr>
          <w:spacing w:val="-8"/>
        </w:rPr>
        <w:t xml:space="preserve"> </w:t>
      </w:r>
      <w:r>
        <w:rPr/>
        <w:t>è</w:t>
      </w:r>
      <w:r>
        <w:rPr>
          <w:spacing w:val="-8"/>
        </w:rPr>
        <w:t xml:space="preserve"> </w:t>
      </w:r>
      <w:r>
        <w:rPr/>
        <w:t>subordinata</w:t>
      </w:r>
      <w:r>
        <w:rPr>
          <w:spacing w:val="-8"/>
        </w:rPr>
        <w:t xml:space="preserve"> </w:t>
      </w:r>
      <w:r>
        <w:rPr/>
        <w:t>al</w:t>
      </w:r>
      <w:r>
        <w:rPr>
          <w:spacing w:val="-7"/>
        </w:rPr>
        <w:t xml:space="preserve"> </w:t>
      </w:r>
      <w:r>
        <w:rPr/>
        <w:t>numero</w:t>
      </w:r>
      <w:r>
        <w:rPr>
          <w:spacing w:val="-9"/>
        </w:rPr>
        <w:t xml:space="preserve"> </w:t>
      </w:r>
      <w:r>
        <w:rPr/>
        <w:t>di</w:t>
      </w:r>
      <w:r>
        <w:rPr>
          <w:spacing w:val="-9"/>
        </w:rPr>
        <w:t xml:space="preserve"> </w:t>
      </w:r>
      <w:r>
        <w:rPr/>
        <w:t>servizi</w:t>
      </w:r>
      <w:r>
        <w:rPr>
          <w:spacing w:val="-7"/>
        </w:rPr>
        <w:t xml:space="preserve"> </w:t>
      </w:r>
      <w:r>
        <w:rPr/>
        <w:t>che</w:t>
      </w:r>
      <w:r>
        <w:rPr>
          <w:spacing w:val="-10"/>
        </w:rPr>
        <w:t xml:space="preserve"> </w:t>
      </w:r>
      <w:r>
        <w:rPr/>
        <w:t>i</w:t>
      </w:r>
      <w:r>
        <w:rPr>
          <w:spacing w:val="-9"/>
        </w:rPr>
        <w:t xml:space="preserve"> </w:t>
      </w:r>
      <w:r>
        <w:rPr/>
        <w:t>singoli</w:t>
      </w:r>
      <w:r>
        <w:rPr>
          <w:spacing w:val="-7"/>
        </w:rPr>
        <w:t xml:space="preserve"> </w:t>
      </w:r>
      <w:r>
        <w:rPr/>
        <w:t>comuni</w:t>
      </w:r>
      <w:r>
        <w:rPr>
          <w:spacing w:val="-7"/>
        </w:rPr>
        <w:t xml:space="preserve"> </w:t>
      </w:r>
      <w:r>
        <w:rPr/>
        <w:t>associati</w:t>
      </w:r>
      <w:r>
        <w:rPr>
          <w:spacing w:val="-8"/>
        </w:rPr>
        <w:t xml:space="preserve"> </w:t>
      </w:r>
      <w:r>
        <w:rPr/>
        <w:t>decidono di affidargli, e dalla capacità di questi ultimi di ripartire i costi che devono essere sostenuti nel corso dei vari</w:t>
      </w:r>
      <w:r>
        <w:rPr>
          <w:spacing w:val="-3"/>
        </w:rPr>
        <w:t xml:space="preserve"> </w:t>
      </w:r>
      <w:r>
        <w:rPr/>
        <w:t>esercizi.</w:t>
      </w:r>
    </w:p>
    <w:p>
      <w:pPr>
        <w:pStyle w:val="Corpodeltesto"/>
        <w:spacing w:lineRule="auto" w:line="276"/>
        <w:ind w:left="392" w:right="363" w:hanging="0"/>
        <w:jc w:val="both"/>
        <w:rPr/>
      </w:pPr>
      <w:r>
        <w:rPr/>
        <w:t>La sostenibilità economica dipende altresì dagli importi dei contributi erogati dalla Regione Lombardia e dal Ministero dell’interno.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5"/>
        </w:rPr>
      </w:pPr>
      <w:r>
        <w:rPr>
          <w:sz w:val="25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827405</wp:posOffset>
                </wp:positionH>
                <wp:positionV relativeFrom="paragraph">
                  <wp:posOffset>210820</wp:posOffset>
                </wp:positionV>
                <wp:extent cx="5994400" cy="236220"/>
                <wp:effectExtent l="0" t="0" r="0" b="0"/>
                <wp:wrapTopAndBottom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1332" w:right="1331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Programmazione biennale degli acquisti di beni e servizi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16.6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1332" w:right="1331" w:hanging="0"/>
                        <w:jc w:val="center"/>
                        <w:rPr/>
                      </w:pPr>
                      <w:r>
                        <w:rPr>
                          <w:b/>
                          <w:sz w:val="28"/>
                        </w:rPr>
                        <w:t>Programmazione biennale degli acquisti di beni e servizi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pStyle w:val="Corpodeltesto"/>
        <w:spacing w:before="58" w:after="0"/>
        <w:ind w:left="392" w:right="344" w:hanging="0"/>
        <w:rPr/>
      </w:pPr>
      <w:r>
        <w:rPr/>
        <w:t>In merito alle spese per beni e servizi, l’ente non ha redatto il Programma biennale di fornitura e servizi.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2"/>
        </w:rPr>
      </w:pPr>
      <w:r>
        <w:rPr>
          <w:sz w:val="22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827405</wp:posOffset>
                </wp:positionH>
                <wp:positionV relativeFrom="paragraph">
                  <wp:posOffset>189865</wp:posOffset>
                </wp:positionV>
                <wp:extent cx="5994400" cy="440690"/>
                <wp:effectExtent l="0" t="0" r="0" b="0"/>
                <wp:wrapTopAndBottom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44069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7" w:after="0"/>
                              <w:ind w:left="3031" w:right="455" w:hanging="2561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Piano triennale di razionalizzazione e riqualificazione della spesa (art.2 comma 594 Legge 244/2007)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34.7pt;mso-wrap-distance-left:0pt;mso-wrap-distance-right:0pt;mso-wrap-distance-top:0pt;mso-wrap-distance-bottom:0pt;margin-top:14.95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7" w:after="0"/>
                        <w:ind w:left="3031" w:right="455" w:hanging="2561"/>
                        <w:rPr/>
                      </w:pPr>
                      <w:r>
                        <w:rPr>
                          <w:b/>
                          <w:sz w:val="28"/>
                        </w:rPr>
                        <w:t>Piano triennale di razionalizzazione e riqualificazione della spesa (art.2 comma 594 Legge 244/2007)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8" w:after="0"/>
        <w:rPr>
          <w:sz w:val="15"/>
        </w:rPr>
      </w:pPr>
      <w:r>
        <w:rPr>
          <w:sz w:val="15"/>
        </w:rPr>
      </w:r>
    </w:p>
    <w:p>
      <w:pPr>
        <w:sectPr>
          <w:headerReference w:type="default" r:id="rId8"/>
          <w:footerReference w:type="default" r:id="rId9"/>
          <w:type w:val="nextPage"/>
          <w:pgSz w:w="11906" w:h="16838"/>
          <w:pgMar w:left="740" w:right="760" w:header="741" w:top="1400" w:footer="1109" w:bottom="13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58" w:after="0"/>
        <w:ind w:left="392" w:hanging="0"/>
        <w:rPr/>
      </w:pPr>
      <w:r>
        <w:rPr/>
        <w:t>L’ente non ha redatto il Piano triennale di razionalizzazione e riqualificazione della spesa.</w:t>
      </w:r>
    </w:p>
    <w:p>
      <w:pPr>
        <w:pStyle w:val="Corpodeltesto"/>
        <w:ind w:left="114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6365875" cy="295910"/>
                <wp:effectExtent l="0" t="0" r="0" b="0"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875" cy="29591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268" w:hanging="0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d) Organizzazione dell’Ente e del suo personale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501.25pt;height:23.3pt;mso-wrap-distance-left:9pt;mso-wrap-distance-right:9pt;mso-wrap-distance-top:0pt;mso-wrap-distance-bottom:0pt;margin-top:-23.3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268" w:hanging="0"/>
                        <w:rPr/>
                      </w:pPr>
                      <w:r>
                        <w:rPr>
                          <w:b/>
                          <w:sz w:val="36"/>
                        </w:rPr>
                        <w:t>d) Organizzazione dell’Ente e del suo personale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2" w:after="0"/>
        <w:rPr>
          <w:sz w:val="19"/>
        </w:rPr>
      </w:pPr>
      <w:r>
        <w:rPr>
          <w:sz w:val="19"/>
        </w:rPr>
      </w:r>
    </w:p>
    <w:p>
      <w:pPr>
        <w:pStyle w:val="Corpodeltesto"/>
        <w:spacing w:before="58" w:after="0"/>
        <w:ind w:left="392" w:hanging="0"/>
        <w:jc w:val="both"/>
        <w:rPr/>
      </w:pPr>
      <w:r>
        <w:rPr/>
        <w:t>L’Unione dei comuni non possiede personale proprio.</w:t>
      </w:r>
    </w:p>
    <w:p>
      <w:pPr>
        <w:pStyle w:val="Corpodeltesto"/>
        <w:spacing w:lineRule="auto" w:line="276" w:before="41" w:after="0"/>
        <w:ind w:left="392" w:right="366" w:hanging="0"/>
        <w:jc w:val="both"/>
        <w:rPr/>
      </w:pPr>
      <w:r>
        <w:rPr/>
        <w:t>Con deliberazione di giunta n. 23 del 02/12/2019 è stato stabilito e approvato lo schema di utilizzo per comando del personale dei Comuni aderenti, a far data dal 02/12/2019 come da prospetto sotto riportato;</w:t>
      </w:r>
    </w:p>
    <w:p>
      <w:pPr>
        <w:pStyle w:val="Corpodeltesto"/>
        <w:spacing w:before="10" w:after="0"/>
        <w:rPr>
          <w:sz w:val="8"/>
        </w:rPr>
      </w:pPr>
      <w:r>
        <w:rPr>
          <w:sz w:val="8"/>
        </w:rPr>
      </w:r>
    </w:p>
    <w:tbl>
      <w:tblPr>
        <w:tblStyle w:val="TableNormal"/>
        <w:tblW w:w="9285" w:type="dxa"/>
        <w:jc w:val="left"/>
        <w:tblInd w:w="32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046"/>
        <w:gridCol w:w="2015"/>
        <w:gridCol w:w="964"/>
        <w:gridCol w:w="3259"/>
      </w:tblGrid>
      <w:tr>
        <w:trPr>
          <w:trHeight w:val="1034" w:hRule="atLeast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5"/>
              <w:ind w:left="386" w:right="37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386" w:right="38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AMMINISTRATIVA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5"/>
              <w:ind w:left="655" w:right="64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655" w:right="64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FINANZIARIA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5"/>
              <w:ind w:left="576" w:right="57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1" w:after="0"/>
              <w:ind w:left="576" w:right="57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TECNICA</w:t>
            </w:r>
          </w:p>
        </w:tc>
      </w:tr>
      <w:tr>
        <w:trPr>
          <w:trHeight w:val="1034" w:hRule="atLeast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640" w:hanging="0"/>
              <w:rPr>
                <w:sz w:val="24"/>
              </w:rPr>
            </w:pPr>
            <w:r>
              <w:rPr>
                <w:sz w:val="24"/>
              </w:rPr>
              <w:t>RESPONSABILE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tabs>
                <w:tab w:val="clear" w:pos="720"/>
                <w:tab w:val="left" w:pos="1953" w:leader="none"/>
              </w:tabs>
              <w:spacing w:before="1" w:after="0"/>
              <w:ind w:left="647" w:hanging="0"/>
              <w:rPr>
                <w:sz w:val="24"/>
              </w:rPr>
            </w:pPr>
            <w:r>
              <w:rPr>
                <w:sz w:val="24"/>
              </w:rPr>
              <w:t>B.J.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(D1)</w:t>
              <w:tab/>
              <w:t>35%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609" w:hanging="0"/>
              <w:rPr>
                <w:sz w:val="24"/>
              </w:rPr>
            </w:pPr>
            <w:r>
              <w:rPr>
                <w:sz w:val="24"/>
              </w:rPr>
              <w:t>RESPONSABILE</w:t>
            </w:r>
          </w:p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tabs>
                <w:tab w:val="clear" w:pos="720"/>
                <w:tab w:val="left" w:pos="990" w:leader="none"/>
                <w:tab w:val="left" w:pos="2161" w:leader="none"/>
              </w:tabs>
              <w:spacing w:before="1" w:after="0"/>
              <w:ind w:left="376" w:hanging="0"/>
              <w:rPr>
                <w:sz w:val="24"/>
              </w:rPr>
            </w:pPr>
            <w:r>
              <w:rPr>
                <w:sz w:val="24"/>
              </w:rPr>
              <w:t>B.J.</w:t>
              <w:tab/>
              <w:t>(D1)</w:t>
              <w:tab/>
              <w:t>35%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574" w:right="572" w:hanging="0"/>
              <w:jc w:val="center"/>
              <w:rPr>
                <w:sz w:val="24"/>
              </w:rPr>
            </w:pPr>
            <w:r>
              <w:rPr>
                <w:sz w:val="24"/>
              </w:rPr>
              <w:t>RESPONSABILE</w:t>
            </w:r>
          </w:p>
          <w:p>
            <w:pPr>
              <w:pStyle w:val="TableParagraph"/>
              <w:spacing w:before="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77" w:right="572" w:hanging="0"/>
              <w:jc w:val="center"/>
              <w:rPr>
                <w:sz w:val="24"/>
              </w:rPr>
            </w:pPr>
            <w:r>
              <w:rPr>
                <w:sz w:val="24"/>
              </w:rPr>
              <w:t>Ing. M. M. (D1) 30%</w:t>
            </w:r>
          </w:p>
        </w:tc>
      </w:tr>
      <w:tr>
        <w:trPr>
          <w:trHeight w:val="518" w:hRule="atLeast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2027" w:leader="none"/>
              </w:tabs>
              <w:spacing w:lineRule="exact" w:line="273"/>
              <w:ind w:left="570" w:hanging="0"/>
              <w:rPr>
                <w:sz w:val="24"/>
              </w:rPr>
            </w:pPr>
            <w:r>
              <w:rPr>
                <w:sz w:val="24"/>
              </w:rPr>
              <w:t>L.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(B7)</w:t>
              <w:tab/>
              <w:t>50%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388" w:hanging="0"/>
              <w:rPr>
                <w:sz w:val="24"/>
              </w:rPr>
            </w:pPr>
            <w:r>
              <w:rPr>
                <w:sz w:val="24"/>
              </w:rPr>
              <w:t>L. M. (B7)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34" w:hanging="0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2060" w:leader="none"/>
              </w:tabs>
              <w:spacing w:lineRule="exact" w:line="273"/>
              <w:ind w:left="749" w:hanging="0"/>
              <w:rPr>
                <w:sz w:val="24"/>
              </w:rPr>
            </w:pPr>
            <w:r>
              <w:rPr>
                <w:sz w:val="24"/>
              </w:rPr>
              <w:t>B.G.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(B7)</w:t>
              <w:tab/>
              <w:t>50%</w:t>
            </w:r>
          </w:p>
        </w:tc>
      </w:tr>
      <w:tr>
        <w:trPr>
          <w:trHeight w:val="518" w:hRule="atLeast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955" w:leader="none"/>
              </w:tabs>
              <w:spacing w:lineRule="exact" w:line="270"/>
              <w:ind w:left="645" w:hanging="0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(B7)</w:t>
              <w:tab/>
              <w:t>40%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349" w:hanging="0"/>
              <w:rPr>
                <w:sz w:val="24"/>
              </w:rPr>
            </w:pPr>
            <w:r>
              <w:rPr>
                <w:sz w:val="24"/>
              </w:rPr>
              <w:t>R. C.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(B1)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78" w:hanging="0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91" w:hRule="atLeast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68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Segreteria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91" w:leader="none"/>
              </w:tabs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Contabilità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68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Progettazioni</w:t>
            </w:r>
          </w:p>
        </w:tc>
      </w:tr>
      <w:tr>
        <w:trPr>
          <w:trHeight w:val="275" w:hRule="atLeast"/>
        </w:trPr>
        <w:tc>
          <w:tcPr>
            <w:tcW w:w="304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52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Servizi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sociali</w:t>
            </w:r>
          </w:p>
        </w:tc>
        <w:tc>
          <w:tcPr>
            <w:tcW w:w="29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91" w:leader="none"/>
              </w:tabs>
              <w:spacing w:lineRule="exact" w:line="252"/>
              <w:ind w:left="431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Economato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52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Concessioni</w:t>
            </w:r>
          </w:p>
        </w:tc>
      </w:tr>
      <w:tr>
        <w:trPr>
          <w:trHeight w:val="275" w:hRule="atLeast"/>
        </w:trPr>
        <w:tc>
          <w:tcPr>
            <w:tcW w:w="304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52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Anagrafe</w:t>
            </w:r>
          </w:p>
        </w:tc>
        <w:tc>
          <w:tcPr>
            <w:tcW w:w="29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91" w:leader="none"/>
              </w:tabs>
              <w:spacing w:lineRule="exact" w:line="252"/>
              <w:ind w:left="431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Tributi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52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Manutenzione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</w:p>
        </w:tc>
      </w:tr>
      <w:tr>
        <w:trPr>
          <w:trHeight w:val="275" w:hRule="atLeast"/>
        </w:trPr>
        <w:tc>
          <w:tcPr>
            <w:tcW w:w="304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52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Protocollo</w:t>
            </w:r>
          </w:p>
        </w:tc>
        <w:tc>
          <w:tcPr>
            <w:tcW w:w="29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52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Commercio</w:t>
            </w:r>
          </w:p>
        </w:tc>
      </w:tr>
      <w:tr>
        <w:trPr>
          <w:trHeight w:val="275" w:hRule="atLeast"/>
        </w:trPr>
        <w:tc>
          <w:tcPr>
            <w:tcW w:w="304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52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Stato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Civile</w:t>
            </w:r>
          </w:p>
        </w:tc>
        <w:tc>
          <w:tcPr>
            <w:tcW w:w="29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52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Edilizia</w:t>
            </w:r>
          </w:p>
        </w:tc>
      </w:tr>
      <w:tr>
        <w:trPr>
          <w:trHeight w:val="778" w:hRule="atLeast"/>
        </w:trPr>
        <w:tc>
          <w:tcPr>
            <w:tcW w:w="3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9" w:leader="none"/>
              </w:tabs>
              <w:spacing w:lineRule="exact" w:line="252"/>
              <w:ind w:left="429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Elettorale</w:t>
            </w:r>
          </w:p>
        </w:tc>
        <w:tc>
          <w:tcPr>
            <w:tcW w:w="29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788" w:leader="none"/>
              </w:tabs>
              <w:spacing w:lineRule="exact" w:line="252"/>
              <w:ind w:left="428" w:hanging="0"/>
              <w:rPr>
                <w:sz w:val="24"/>
              </w:rPr>
            </w:pPr>
            <w:r>
              <w:rPr>
                <w:sz w:val="24"/>
              </w:rPr>
              <w:t>-</w:t>
              <w:tab/>
              <w:t>Servizio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Notifiche</w:t>
            </w:r>
          </w:p>
        </w:tc>
      </w:tr>
    </w:tbl>
    <w:p>
      <w:pPr>
        <w:pStyle w:val="Corpodeltesto"/>
        <w:spacing w:before="9" w:after="0"/>
        <w:rPr>
          <w:sz w:val="26"/>
        </w:rPr>
      </w:pPr>
      <w:r>
        <w:rPr>
          <w:sz w:val="26"/>
        </w:rPr>
      </w:r>
    </w:p>
    <w:p>
      <w:pPr>
        <w:pStyle w:val="Corpodeltesto"/>
        <w:ind w:left="392" w:right="365" w:hanging="0"/>
        <w:jc w:val="both"/>
        <w:rPr/>
      </w:pPr>
      <w:r>
        <w:rPr/>
        <w:t>I Comuni associati si impegnano ad eseguire i riparti delle spese di personale sostenute secondo le percentuali sopra indicate.</w:t>
      </w:r>
    </w:p>
    <w:p>
      <w:pPr>
        <w:pStyle w:val="Corpodeltesto"/>
        <w:spacing w:before="4" w:after="0"/>
        <w:rPr>
          <w:sz w:val="21"/>
        </w:rPr>
      </w:pPr>
      <w:r>
        <w:rPr>
          <w:sz w:val="21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page">
                  <wp:posOffset>827405</wp:posOffset>
                </wp:positionH>
                <wp:positionV relativeFrom="paragraph">
                  <wp:posOffset>184150</wp:posOffset>
                </wp:positionV>
                <wp:extent cx="5994400" cy="236220"/>
                <wp:effectExtent l="0" t="0" r="0" b="0"/>
                <wp:wrapTopAndBottom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1331" w:right="1331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Programmazione triennale del fabbisogno di personale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14.5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1331" w:right="1331" w:hanging="0"/>
                        <w:jc w:val="center"/>
                        <w:rPr/>
                      </w:pPr>
                      <w:r>
                        <w:rPr>
                          <w:b/>
                          <w:sz w:val="28"/>
                        </w:rPr>
                        <w:t>Programmazione triennale del fabbisogno di personale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15"/>
        </w:rPr>
      </w:pPr>
      <w:r>
        <w:rPr>
          <w:sz w:val="15"/>
        </w:rPr>
      </w:r>
    </w:p>
    <w:p>
      <w:pPr>
        <w:pStyle w:val="Corpodeltesto"/>
        <w:spacing w:before="58" w:after="0"/>
        <w:ind w:left="505" w:hanging="0"/>
        <w:rPr/>
      </w:pPr>
      <w:r>
        <w:rPr/>
        <w:t>La programmazione triennale del fabbisogno di personale è demandata ai singoli Comuni associati.</w:t>
      </w:r>
    </w:p>
    <w:p>
      <w:pPr>
        <w:pStyle w:val="Corpodeltesto"/>
        <w:spacing w:before="7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5">
                <wp:simplePos x="0" y="0"/>
                <wp:positionH relativeFrom="page">
                  <wp:posOffset>827405</wp:posOffset>
                </wp:positionH>
                <wp:positionV relativeFrom="paragraph">
                  <wp:posOffset>229870</wp:posOffset>
                </wp:positionV>
                <wp:extent cx="5994400" cy="236220"/>
                <wp:effectExtent l="0" t="0" r="0" b="0"/>
                <wp:wrapTopAndBottom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23622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556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Programmazione investimenti e Piano triennale delle opere pubbliche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2pt;height:18.6pt;mso-wrap-distance-left:0pt;mso-wrap-distance-right:0pt;mso-wrap-distance-top:0pt;mso-wrap-distance-bottom:0pt;margin-top:18.1pt;mso-position-vertical-relative:text;margin-left:65.1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556" w:hanging="0"/>
                        <w:rPr/>
                      </w:pPr>
                      <w:r>
                        <w:rPr>
                          <w:b/>
                          <w:sz w:val="28"/>
                        </w:rPr>
                        <w:t>Programmazione investimenti e Piano triennale delle opere pubbliche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0"/>
          <w:footerReference w:type="default" r:id="rId11"/>
          <w:type w:val="nextPage"/>
          <w:pgSz w:w="11906" w:h="16838"/>
          <w:pgMar w:left="740" w:right="760" w:header="741" w:top="1400" w:footer="1109" w:bottom="13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276" w:before="58" w:after="0"/>
        <w:ind w:left="505" w:hanging="0"/>
        <w:rPr/>
      </w:pPr>
      <w:r>
        <w:rPr/>
        <w:t>La programmazione degli investimenti e la redazione del Piano triennale delle opere pubbliche è demandata ai singoli Comuni associati.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5" w:after="0"/>
        <w:rPr>
          <w:sz w:val="10"/>
        </w:rPr>
      </w:pPr>
      <w:r>
        <w:rPr>
          <w:sz w:val="10"/>
        </w:rPr>
      </w:r>
    </w:p>
    <w:p>
      <w:pPr>
        <w:pStyle w:val="Corpodeltesto"/>
        <w:ind w:left="558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5994400" cy="440690"/>
                <wp:effectExtent l="0" t="0" r="0" b="0"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0" cy="44069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7" w:after="0"/>
                              <w:ind w:left="4231" w:right="323" w:hanging="3893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Programmi e progetti di investimento in corso di esecuzione e non ancora conclusi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472pt;height:34.7pt;mso-wrap-distance-left:9pt;mso-wrap-distance-right:9pt;mso-wrap-distance-top:0pt;mso-wrap-distance-bottom:0pt;margin-top:-34.7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before="17" w:after="0"/>
                        <w:ind w:left="4231" w:right="323" w:hanging="3893"/>
                        <w:rPr/>
                      </w:pPr>
                      <w:r>
                        <w:rPr>
                          <w:b/>
                          <w:sz w:val="28"/>
                        </w:rPr>
                        <w:t>Programmi e progetti di investimento in corso di esecuzione e non ancora conclusi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26"/>
        </w:rPr>
      </w:pPr>
      <w:r>
        <w:rPr>
          <w:sz w:val="26"/>
        </w:rPr>
      </w:r>
    </w:p>
    <w:p>
      <w:pPr>
        <w:pStyle w:val="Corpodeltesto"/>
        <w:spacing w:before="59" w:after="0"/>
        <w:ind w:left="505" w:hanging="0"/>
        <w:rPr/>
      </w:pPr>
      <w:r>
        <w:rPr/>
        <w:t>Non ricorre fattispecie, in quanto gli investimenti sono in carico ai singoli comuni associati.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17"/>
        </w:rPr>
      </w:pPr>
      <w:r>
        <w:rPr>
          <w:sz w:val="1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6">
                <wp:simplePos x="0" y="0"/>
                <wp:positionH relativeFrom="page">
                  <wp:posOffset>545465</wp:posOffset>
                </wp:positionH>
                <wp:positionV relativeFrom="paragraph">
                  <wp:posOffset>153670</wp:posOffset>
                </wp:positionV>
                <wp:extent cx="6365875" cy="295910"/>
                <wp:effectExtent l="0" t="0" r="0" b="0"/>
                <wp:wrapTopAndBottom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875" cy="29591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9" w:after="0"/>
                              <w:ind w:left="268" w:hanging="0"/>
                              <w:rPr/>
                            </w:pPr>
                            <w:r>
                              <w:rPr>
                                <w:b/>
                                <w:sz w:val="36"/>
                              </w:rPr>
                              <w:t>e) Rispetto delle regole di finanza pubblica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501.25pt;height:23.3pt;mso-wrap-distance-left:0pt;mso-wrap-distance-right:0pt;mso-wrap-distance-top:0pt;mso-wrap-distance-bottom:0pt;margin-top:12.1pt;mso-position-vertical-relative:text;margin-left:42.9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9" w:after="0"/>
                        <w:ind w:left="268" w:hanging="0"/>
                        <w:rPr/>
                      </w:pPr>
                      <w:r>
                        <w:rPr>
                          <w:b/>
                          <w:sz w:val="36"/>
                        </w:rPr>
                        <w:t>e) Rispetto delle regole di finanza pubblica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3" w:after="0"/>
        <w:rPr>
          <w:sz w:val="19"/>
        </w:rPr>
      </w:pPr>
      <w:r>
        <w:rPr>
          <w:sz w:val="19"/>
        </w:rPr>
      </w:r>
    </w:p>
    <w:p>
      <w:pPr>
        <w:pStyle w:val="Titolo2"/>
        <w:spacing w:before="56" w:after="0"/>
        <w:ind w:left="392" w:right="344" w:hanging="0"/>
        <w:rPr/>
      </w:pPr>
      <w:r>
        <w:rPr/>
        <w:t>Raggiungimento equilibri della situazione corrente e generali del bilancio e relativi equilibri in termini di cassa</w:t>
      </w:r>
    </w:p>
    <w:p>
      <w:pPr>
        <w:pStyle w:val="Corpodeltesto"/>
        <w:spacing w:before="5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Corpodeltesto"/>
        <w:ind w:left="392" w:right="364" w:hanging="0"/>
        <w:rPr/>
      </w:pPr>
      <w:r>
        <w:rPr/>
        <w:t>In merito al rispetto degli equilibri di bilancio ed ai vincoli di finanza pubblica, l’Ente ha rispettato la salvaguardia degli equilibri di bilancio per l’esercizio 2020.</w:t>
      </w:r>
    </w:p>
    <w:p>
      <w:pPr>
        <w:pStyle w:val="Corpodeltesto"/>
        <w:rPr/>
      </w:pPr>
      <w:r>
        <w:rPr/>
      </w:r>
    </w:p>
    <w:p>
      <w:pPr>
        <w:pStyle w:val="Corpodeltesto"/>
        <w:spacing w:before="6" w:after="0"/>
        <w:rPr/>
      </w:pPr>
      <w:r>
        <w:rPr/>
      </w:r>
    </w:p>
    <w:p>
      <w:pPr>
        <w:pStyle w:val="Titolo2"/>
        <w:spacing w:before="0" w:after="0"/>
        <w:rPr/>
      </w:pPr>
      <w:r>
        <w:rPr/>
        <w:t>Rispetto dei vincoli di finanza pubblica</w:t>
      </w:r>
    </w:p>
    <w:p>
      <w:pPr>
        <w:pStyle w:val="Corpodeltesto"/>
        <w:spacing w:before="5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Corpodeltesto"/>
        <w:ind w:left="625" w:hanging="0"/>
        <w:jc w:val="both"/>
        <w:rPr/>
      </w:pPr>
      <w:r>
        <w:rPr/>
        <w:t>L’Ente nel quinquennio precedente ha rispettato i vincoli di finanza pubblica</w:t>
      </w:r>
    </w:p>
    <w:p>
      <w:pPr>
        <w:pStyle w:val="Corpodeltesto"/>
        <w:rPr/>
      </w:pPr>
      <w:r>
        <w:rPr/>
      </w:r>
    </w:p>
    <w:p>
      <w:pPr>
        <w:pStyle w:val="Corpodeltesto"/>
        <w:ind w:left="625" w:right="931" w:hanging="0"/>
        <w:jc w:val="both"/>
        <w:rPr/>
      </w:pPr>
      <w:r>
        <w:rPr/>
        <w:t>L’Ente negli esercizi precedente non ha acquisito/ceduto spazi nell’ambito dei patti regionali o nazionali, i cui effetti influiranno sull’andamento degli esercizi ricompresi nel presente D.U.P.S.</w:t>
      </w:r>
    </w:p>
    <w:sectPr>
      <w:headerReference w:type="default" r:id="rId12"/>
      <w:footerReference w:type="default" r:id="rId13"/>
      <w:type w:val="nextPage"/>
      <w:pgSz w:w="11906" w:h="16838"/>
      <w:pgMar w:left="740" w:right="760" w:header="741" w:top="1400" w:footer="1109" w:bottom="130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page">
                <wp:posOffset>730885</wp:posOffset>
              </wp:positionH>
              <wp:positionV relativeFrom="page">
                <wp:posOffset>9851390</wp:posOffset>
              </wp:positionV>
              <wp:extent cx="1792605" cy="32766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2605" cy="32766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39"/>
                            <w:ind w:left="20" w:hanging="0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Unione Comuni Lombarda di</w:t>
                          </w:r>
                        </w:p>
                        <w:p>
                          <w:pPr>
                            <w:pStyle w:val="Contenutocornice"/>
                            <w:spacing w:before="1" w:after="0"/>
                            <w:ind w:left="20" w:hanging="0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Verrua e Rea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41.15pt;height:25.8pt;mso-wrap-distance-left:9pt;mso-wrap-distance-right:9pt;mso-wrap-distance-top:0pt;mso-wrap-distance-bottom:0pt;margin-top:775.7pt;mso-position-vertical-relative:page;margin-left:57.5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39"/>
                      <w:ind w:left="20" w:hanging="0"/>
                      <w:rPr>
                        <w:b/>
                        <w:b/>
                      </w:rPr>
                    </w:pPr>
                    <w:r>
                      <w:rPr>
                        <w:b/>
                      </w:rPr>
                      <w:t>Unione Comuni Lombarda di</w:t>
                    </w:r>
                  </w:p>
                  <w:p>
                    <w:pPr>
                      <w:pStyle w:val="Contenutocornice"/>
                      <w:spacing w:before="1" w:after="0"/>
                      <w:ind w:left="20" w:hanging="0"/>
                      <w:rPr>
                        <w:b/>
                        <w:b/>
                      </w:rPr>
                    </w:pPr>
                    <w:r>
                      <w:rPr>
                        <w:b/>
                      </w:rPr>
                      <w:t>Verrua e Rea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1" allowOverlap="1" relativeHeight="4">
              <wp:simplePos x="0" y="0"/>
              <wp:positionH relativeFrom="page">
                <wp:posOffset>3455670</wp:posOffset>
              </wp:positionH>
              <wp:positionV relativeFrom="page">
                <wp:posOffset>9851390</wp:posOffset>
              </wp:positionV>
              <wp:extent cx="647700" cy="165735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1657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39"/>
                            <w:ind w:left="20" w:hanging="0"/>
                            <w:rPr/>
                          </w:pPr>
                          <w:r>
                            <w:rPr>
                              <w:b/>
                            </w:rPr>
                            <w:t xml:space="preserve">Pag.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di 6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51pt;height:13.05pt;mso-wrap-distance-left:9pt;mso-wrap-distance-right:9pt;mso-wrap-distance-top:0pt;mso-wrap-distance-bottom:0pt;margin-top:775.7pt;mso-position-vertical-relative:page;margin-left:272.1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39"/>
                      <w:ind w:left="20" w:hanging="0"/>
                      <w:rPr/>
                    </w:pPr>
                    <w:r>
                      <w:rPr>
                        <w:b/>
                      </w:rPr>
                      <w:t xml:space="preserve">Pag. </w:t>
                    </w: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  <w:r>
                      <w:rPr>
                        <w:b/>
                      </w:rPr>
                      <w:t xml:space="preserve"> di 6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1" allowOverlap="1" relativeHeight="5">
              <wp:simplePos x="0" y="0"/>
              <wp:positionH relativeFrom="page">
                <wp:posOffset>5758815</wp:posOffset>
              </wp:positionH>
              <wp:positionV relativeFrom="page">
                <wp:posOffset>9849485</wp:posOffset>
              </wp:positionV>
              <wp:extent cx="1070610" cy="165735"/>
              <wp:effectExtent l="0" t="0" r="0" b="0"/>
              <wp:wrapNone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0610" cy="1657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43"/>
                            <w:ind w:left="20" w:hanging="0"/>
                            <w:rPr>
                              <w:b/>
                              <w:b/>
                              <w:i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(D.U.P.S. Siscom)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84.3pt;height:13.05pt;mso-wrap-distance-left:9pt;mso-wrap-distance-right:9pt;mso-wrap-distance-top:0pt;mso-wrap-distance-bottom:0pt;margin-top:775.55pt;mso-position-vertical-relative:page;margin-left:453.4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43"/>
                      <w:ind w:left="20" w:hanging="0"/>
                      <w:rPr>
                        <w:b/>
                        <w:b/>
                        <w:i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(D.U.P.S. Siscom)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1878330</wp:posOffset>
              </wp:positionH>
              <wp:positionV relativeFrom="page">
                <wp:posOffset>457835</wp:posOffset>
              </wp:positionV>
              <wp:extent cx="3802380" cy="165735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2380" cy="1657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39"/>
                            <w:ind w:left="20" w:hanging="0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Documento Unico di Programmazione Semplificato 2019 - 2021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299.4pt;height:13.05pt;mso-wrap-distance-left:9pt;mso-wrap-distance-right:9pt;mso-wrap-distance-top:0pt;mso-wrap-distance-bottom:0pt;margin-top:36.05pt;mso-position-vertical-relative:page;margin-left:147.9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39"/>
                      <w:ind w:left="20" w:hanging="0"/>
                      <w:rPr>
                        <w:b/>
                        <w:b/>
                      </w:rPr>
                    </w:pPr>
                    <w:r>
                      <w:rPr>
                        <w:b/>
                      </w:rPr>
                      <w:t>Documento Unico di Programmazione Semplificato 2019 - 2021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676" w:hanging="284"/>
      </w:pPr>
      <w:rPr>
        <w:sz w:val="24"/>
        <w:b/>
        <w:szCs w:val="24"/>
        <w:bCs/>
        <w:w w:val="99"/>
        <w:rFonts w:eastAsia="Times New Roman" w:cs="Times New Roman"/>
        <w:lang w:val="it-IT" w:eastAsia="it-IT" w:bidi="it-IT"/>
      </w:rPr>
    </w:lvl>
    <w:lvl w:ilvl="1">
      <w:start w:val="1"/>
      <w:numFmt w:val="bullet"/>
      <w:lvlText w:val="o"/>
      <w:lvlJc w:val="left"/>
      <w:pPr>
        <w:ind w:left="1345" w:hanging="360"/>
      </w:pPr>
      <w:rPr>
        <w:rFonts w:ascii="Courier New" w:hAnsi="Courier New" w:cs="Courier New" w:hint="default"/>
        <w:sz w:val="24"/>
        <w:szCs w:val="24"/>
        <w:w w:val="99"/>
        <w:rFonts w:cs="Courier New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46" w:hanging="360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353" w:hanging="360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360" w:hanging="360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366" w:hanging="360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6373" w:hanging="360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7380" w:hanging="360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8386" w:hanging="360"/>
      </w:pPr>
      <w:rPr>
        <w:rFonts w:ascii="Symbol" w:hAnsi="Symbol" w:cs="Symbol" w:hint="default"/>
        <w:lang w:val="it-IT" w:eastAsia="it-IT" w:bidi="it-I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compat/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7b1b1d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it-IT"/>
    </w:rPr>
  </w:style>
  <w:style w:type="paragraph" w:styleId="Titolo1" w:customStyle="1">
    <w:name w:val="Heading 1"/>
    <w:basedOn w:val="Normal"/>
    <w:uiPriority w:val="1"/>
    <w:qFormat/>
    <w:rsid w:val="007b1b1d"/>
    <w:pPr>
      <w:ind w:left="463" w:right="462" w:hanging="0"/>
      <w:jc w:val="center"/>
      <w:outlineLvl w:val="1"/>
    </w:pPr>
    <w:rPr>
      <w:b/>
      <w:bCs/>
      <w:sz w:val="40"/>
      <w:szCs w:val="40"/>
    </w:rPr>
  </w:style>
  <w:style w:type="paragraph" w:styleId="Titolo2" w:customStyle="1">
    <w:name w:val="Heading 2"/>
    <w:basedOn w:val="Normal"/>
    <w:uiPriority w:val="1"/>
    <w:qFormat/>
    <w:rsid w:val="007b1b1d"/>
    <w:pPr>
      <w:spacing w:before="19" w:after="0"/>
      <w:ind w:left="392" w:hanging="0"/>
      <w:outlineLvl w:val="2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7b1b1d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7b1b1d"/>
    <w:pPr>
      <w:ind w:left="1345" w:hanging="361"/>
    </w:pPr>
    <w:rPr/>
  </w:style>
  <w:style w:type="paragraph" w:styleId="TableParagraph" w:customStyle="1">
    <w:name w:val="Table Paragraph"/>
    <w:basedOn w:val="Normal"/>
    <w:uiPriority w:val="1"/>
    <w:qFormat/>
    <w:rsid w:val="007b1b1d"/>
    <w:pPr/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b1b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LibreOffice/6.3.4.2$Windows_X86_64 LibreOffice_project/60da17e045e08f1793c57c00ba83cdfce946d0aa</Application>
  <Pages>6</Pages>
  <Words>779</Words>
  <Characters>4575</Characters>
  <CharactersWithSpaces>5237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2021-01-07T13:04:00Z</dcterms:created>
  <dc:creator>Anagrafe</dc:creator>
  <dc:description/>
  <dc:language>it-IT</dc:language>
  <cp:lastModifiedBy/>
  <dcterms:modified xsi:type="dcterms:W3CDTF">2021-01-11T12:47:59Z</dcterms:modified>
  <cp:revision>3</cp:revision>
  <dc:subject/>
  <dc:title>UNIONE - DUP_2021_2023.RTF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2020-01-09T00:00:00Z</vt:filetime>
  </property>
  <property fmtid="{D5CDD505-2E9C-101B-9397-08002B2CF9AE}" pid="4" name="Creator">
    <vt:lpwstr>PDFCreator Version 1.7.3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2021-01-07T00:00:00Z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